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A5D" w:rsidRDefault="00186A5D" w:rsidP="00186A5D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>
        <w:fldChar w:fldCharType="begin"/>
      </w:r>
      <w:r>
        <w:instrText xml:space="preserve"> HYPERLINK "http://www.consultant.ru/document/cons_doc_LAW_121895/" </w:instrText>
      </w:r>
      <w:r>
        <w:fldChar w:fldCharType="separate"/>
      </w:r>
      <w:r>
        <w:rPr>
          <w:rStyle w:val="a3"/>
          <w:rFonts w:ascii="Arial" w:hAnsi="Arial" w:cs="Arial"/>
          <w:b/>
          <w:bCs/>
          <w:color w:val="FF9900"/>
          <w:shd w:val="clear" w:color="auto" w:fill="FFFFFF"/>
        </w:rPr>
        <w:t>Федеральный закон от 21.11.2011 N 323-ФЗ (ред. от 29.05.2019) "Об основах охраны здоровья граждан в Российской Федерации"</w:t>
      </w:r>
      <w:r>
        <w:fldChar w:fldCharType="end"/>
      </w:r>
      <w:bookmarkStart w:id="0" w:name="_GoBack"/>
      <w:bookmarkEnd w:id="0"/>
    </w:p>
    <w:p w:rsidR="00186A5D" w:rsidRDefault="00186A5D" w:rsidP="00186A5D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186A5D" w:rsidRPr="00186A5D" w:rsidRDefault="00186A5D" w:rsidP="00186A5D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186A5D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Статья 79.1. Независимая оценка качества условий оказания услуг медицинскими организациями</w:t>
      </w:r>
    </w:p>
    <w:p w:rsidR="00186A5D" w:rsidRPr="00186A5D" w:rsidRDefault="00186A5D" w:rsidP="00186A5D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4" w:anchor="dst100123" w:history="1">
        <w:r w:rsidRPr="00186A5D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05.12.2017 N 392-ФЗ)</w:t>
      </w:r>
    </w:p>
    <w:p w:rsidR="00186A5D" w:rsidRPr="00186A5D" w:rsidRDefault="00186A5D" w:rsidP="00186A5D">
      <w:pPr>
        <w:shd w:val="clear" w:color="auto" w:fill="FFFFFF"/>
        <w:spacing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186A5D" w:rsidRPr="00186A5D" w:rsidRDefault="00186A5D" w:rsidP="00186A5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(введена Федеральным </w:t>
      </w:r>
      <w:hyperlink r:id="rId5" w:anchor="dst100124" w:history="1">
        <w:r w:rsidRPr="00186A5D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21.07.2014 N 256-ФЗ)</w:t>
      </w:r>
    </w:p>
    <w:p w:rsidR="00186A5D" w:rsidRPr="00186A5D" w:rsidRDefault="00186A5D" w:rsidP="00186A5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186A5D" w:rsidRPr="00186A5D" w:rsidRDefault="00186A5D" w:rsidP="00186A5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" w:name="dst297"/>
      <w:bookmarkEnd w:id="1"/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организациями, а также в целях повышения качества их деятельности.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деятельности, а также экспертизы и контроля качества медицинской помощи.</w:t>
      </w:r>
    </w:p>
    <w:p w:rsidR="00186A5D" w:rsidRPr="00186A5D" w:rsidRDefault="00186A5D" w:rsidP="00186A5D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6" w:anchor="dst100124" w:history="1">
        <w:r w:rsidRPr="00186A5D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05.12.2017 N 392-ФЗ)</w:t>
      </w:r>
    </w:p>
    <w:p w:rsidR="00186A5D" w:rsidRPr="00186A5D" w:rsidRDefault="00186A5D" w:rsidP="00186A5D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186A5D" w:rsidRPr="00186A5D" w:rsidRDefault="00186A5D" w:rsidP="00186A5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" w:name="dst298"/>
      <w:bookmarkEnd w:id="2"/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критериям, как открытость и доступность информации о медицинской организации; комфортность условий предоставления медицинских услуг, в том числе время ожидания предоставления медицинской услуги; доброжелательность, вежливость работников медицинской организации; удовлетворенность условиями оказания услуг, а также доступность медицинских услуг для инвалидов.</w:t>
      </w:r>
    </w:p>
    <w:p w:rsidR="00186A5D" w:rsidRPr="00186A5D" w:rsidRDefault="00186A5D" w:rsidP="00186A5D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(часть 2 в ред. Федерального </w:t>
      </w:r>
      <w:hyperlink r:id="rId7" w:anchor="dst100125" w:history="1">
        <w:r w:rsidRPr="00186A5D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05.12.2017 N 392-ФЗ)</w:t>
      </w:r>
    </w:p>
    <w:p w:rsidR="00186A5D" w:rsidRPr="00186A5D" w:rsidRDefault="00186A5D" w:rsidP="00186A5D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186A5D" w:rsidRPr="00186A5D" w:rsidRDefault="00186A5D" w:rsidP="00186A5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dst299"/>
      <w:bookmarkEnd w:id="3"/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Независимая оценка качества условий оказания услуг медицинскими организациями осуществляется в соответствии с положениями настоящей статьи.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организациях, размещаемая в том числе в форме открытых данных.</w:t>
      </w:r>
    </w:p>
    <w:p w:rsidR="00186A5D" w:rsidRPr="00186A5D" w:rsidRDefault="00186A5D" w:rsidP="00186A5D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8" w:anchor="dst100127" w:history="1">
        <w:r w:rsidRPr="00186A5D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05.12.2017 N 392-ФЗ)</w:t>
      </w:r>
    </w:p>
    <w:p w:rsidR="00186A5D" w:rsidRPr="00186A5D" w:rsidRDefault="00186A5D" w:rsidP="00186A5D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186A5D" w:rsidRPr="00186A5D" w:rsidRDefault="00186A5D" w:rsidP="00186A5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" w:name="dst300"/>
      <w:bookmarkEnd w:id="4"/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В целях создания условий для проведения независимой оценки качества условий оказания услуг медицинскими организациями:</w:t>
      </w:r>
    </w:p>
    <w:p w:rsidR="00186A5D" w:rsidRPr="00186A5D" w:rsidRDefault="00186A5D" w:rsidP="00186A5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301"/>
      <w:bookmarkEnd w:id="5"/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организаций, созданных в целях защиты прав и интересов граждан,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организациями, участвующими в реализации </w:t>
      </w:r>
      <w:proofErr w:type="spellStart"/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begin"/>
      </w:r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instrText xml:space="preserve"> HYPERLINK "http://www.consultant.ru/document/cons_doc_LAW_141711/ed061ebeff9beb04c0d94a210aa7554daf70f1b7/" \l "dst100068" </w:instrText>
      </w:r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separate"/>
      </w:r>
      <w:r w:rsidRPr="00186A5D">
        <w:rPr>
          <w:rFonts w:ascii="Arial" w:eastAsia="Times New Roman" w:hAnsi="Arial" w:cs="Arial"/>
          <w:color w:val="666699"/>
          <w:sz w:val="24"/>
          <w:szCs w:val="24"/>
          <w:u w:val="single"/>
          <w:lang w:eastAsia="ru-RU"/>
        </w:rPr>
        <w:t>программы</w:t>
      </w:r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end"/>
      </w:r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государственных</w:t>
      </w:r>
      <w:proofErr w:type="spellEnd"/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гарантий бесплатного оказания гражданам медицинской помощи, учредителем которых является Российская Федерация, и утверждает его состав. Общественная палата Российской Федерации </w:t>
      </w:r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организациями. </w:t>
      </w:r>
      <w:hyperlink r:id="rId9" w:anchor="dst100009" w:history="1">
        <w:r w:rsidRPr="00186A5D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Перечень</w:t>
        </w:r>
      </w:hyperlink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видов медицинских организаций в соответствии с номенклатурой медицинских организаций, в отношении которых не проводится независимая оценка качества условий оказания ими услуг,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качества;</w:t>
      </w:r>
    </w:p>
    <w:p w:rsidR="00186A5D" w:rsidRPr="00186A5D" w:rsidRDefault="00186A5D" w:rsidP="00186A5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302"/>
      <w:bookmarkEnd w:id="6"/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организаций, созданных в целях защиты прав и интересов граждан, общественных объединений инвалидов общественные советы по проведению независимой оценки качества условий оказания услуг медицинскими организациями, участвующими в реализации программы государственных гарантий бесплатного оказания гражданам медицинской помощи, расположенными на территориях субъектов Российской Федерации, за исключением медицинских организаций, указанных в </w:t>
      </w:r>
      <w:hyperlink r:id="rId10" w:anchor="dst301" w:history="1">
        <w:r w:rsidRPr="00186A5D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пункте 1</w:t>
        </w:r>
      </w:hyperlink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настоящей части, и медицинских организаций, в отношении которых независимая оценка проводится общественными советами, созданными при органах местного самоуправления, и утверждают их состав.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организациями;</w:t>
      </w:r>
    </w:p>
    <w:p w:rsidR="00186A5D" w:rsidRPr="00186A5D" w:rsidRDefault="00186A5D" w:rsidP="00186A5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" w:name="dst303"/>
      <w:bookmarkEnd w:id="7"/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3) общественные палаты (советы)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 </w:t>
      </w:r>
      <w:hyperlink r:id="rId11" w:anchor="dst100221" w:history="1">
        <w:r w:rsidRPr="00186A5D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частью 2 статьи 16</w:t>
        </w:r>
      </w:hyperlink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организаций, созданных в целях защиты прав и интересов граждан, общественных объединений инвалидов общественные советы по проведению независимой оценки качества условий оказания услуг медицинскими организациями, участвующими в реализации программы государственных гарантий бесплатного оказания гражданам медицинской помощи, расположенными на территориях муниципальных образований, за исключением медицинских организаций, указанных в </w:t>
      </w:r>
      <w:hyperlink r:id="rId12" w:anchor="dst301" w:history="1">
        <w:r w:rsidRPr="00186A5D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пунктах 1</w:t>
        </w:r>
      </w:hyperlink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 </w:t>
      </w:r>
      <w:hyperlink r:id="rId13" w:anchor="dst302" w:history="1">
        <w:r w:rsidRPr="00186A5D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2</w:t>
        </w:r>
      </w:hyperlink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настоящей части, и утверждать их состав. Общественные палаты (советы)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организациями.</w:t>
      </w:r>
    </w:p>
    <w:p w:rsidR="00186A5D" w:rsidRPr="00186A5D" w:rsidRDefault="00186A5D" w:rsidP="00186A5D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(часть 4 в ред. Федерального </w:t>
      </w:r>
      <w:hyperlink r:id="rId14" w:anchor="dst100128" w:history="1">
        <w:r w:rsidRPr="00186A5D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05.12.2017 N 392-ФЗ)</w:t>
      </w:r>
    </w:p>
    <w:p w:rsidR="00186A5D" w:rsidRPr="00186A5D" w:rsidRDefault="00186A5D" w:rsidP="00186A5D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186A5D" w:rsidRPr="00186A5D" w:rsidRDefault="00186A5D" w:rsidP="00186A5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" w:name="dst304"/>
      <w:bookmarkEnd w:id="8"/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5. </w:t>
      </w:r>
      <w:hyperlink r:id="rId15" w:anchor="dst100010" w:history="1">
        <w:r w:rsidRPr="00186A5D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Показатели</w:t>
        </w:r>
      </w:hyperlink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характеризующие общие критерии оценки качества условий оказания услуг медицинскими организациями, в отношении которых проводится независимая оценка, устанавливаются уполномоченным федеральным органом исполнительной власти с предварительным обсуждением на общественном совете.</w:t>
      </w:r>
    </w:p>
    <w:p w:rsidR="00186A5D" w:rsidRPr="00186A5D" w:rsidRDefault="00186A5D" w:rsidP="00186A5D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(в ред. Федерального </w:t>
      </w:r>
      <w:hyperlink r:id="rId16" w:anchor="dst100133" w:history="1">
        <w:r w:rsidRPr="00186A5D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05.12.2017 N 392-ФЗ)</w:t>
      </w:r>
    </w:p>
    <w:p w:rsidR="00186A5D" w:rsidRPr="00186A5D" w:rsidRDefault="00186A5D" w:rsidP="00186A5D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186A5D" w:rsidRPr="00186A5D" w:rsidRDefault="00186A5D" w:rsidP="00186A5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9" w:name="dst305"/>
      <w:bookmarkEnd w:id="9"/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6. Состав общественного совета по проведению независимой оценки качества условий оказания услуг медицинскими организациями (далее - общественный </w:t>
      </w:r>
      <w:proofErr w:type="gramStart"/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совет по независимой оценке</w:t>
      </w:r>
      <w:proofErr w:type="gramEnd"/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качества) утверждается сроком на три года. При формировании общественного </w:t>
      </w:r>
      <w:proofErr w:type="gramStart"/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совета по независимой оценке</w:t>
      </w:r>
      <w:proofErr w:type="gramEnd"/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качества на новый срок осуществляется изменение не менее трети его состава. В состав общественного </w:t>
      </w:r>
      <w:proofErr w:type="gramStart"/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совета по независимой оценке</w:t>
      </w:r>
      <w:proofErr w:type="gramEnd"/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качества не могут входить представители органов государственной власти и органов местного самоуправления, представители медицинских профессиональных некоммерческих организаций, а также руководители (их заместители) и работники медицинских организаций. При этом общественный </w:t>
      </w:r>
      <w:proofErr w:type="gramStart"/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совет по независимой оценке</w:t>
      </w:r>
      <w:proofErr w:type="gramEnd"/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оценки. Число членов общественного </w:t>
      </w:r>
      <w:proofErr w:type="gramStart"/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совета по независимой оценке</w:t>
      </w:r>
      <w:proofErr w:type="gramEnd"/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качества не может быть менее чем пять человек. Члены общественного </w:t>
      </w:r>
      <w:proofErr w:type="gramStart"/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совета по независимой оценке</w:t>
      </w:r>
      <w:proofErr w:type="gramEnd"/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качества осуществляют свою деятельность на общественных началах. Информация о деятельности соответствующего общественного </w:t>
      </w:r>
      <w:proofErr w:type="gramStart"/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совета по независимой оценке</w:t>
      </w:r>
      <w:proofErr w:type="gramEnd"/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качества подлежит размещению в сети "Интернет" на официальном сайте соответственно уполномоченного федерального органа исполнительной власти, органа исполнительной власти субъекта Российской Федерации, органа местного самоуправления.</w:t>
      </w:r>
    </w:p>
    <w:p w:rsidR="00186A5D" w:rsidRPr="00186A5D" w:rsidRDefault="00186A5D" w:rsidP="00186A5D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(часть 6 в ред. Федерального </w:t>
      </w:r>
      <w:hyperlink r:id="rId17" w:anchor="dst100134" w:history="1">
        <w:r w:rsidRPr="00186A5D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05.12.2017 N 392-ФЗ)</w:t>
      </w:r>
    </w:p>
    <w:p w:rsidR="00186A5D" w:rsidRPr="00186A5D" w:rsidRDefault="00186A5D" w:rsidP="00186A5D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186A5D" w:rsidRPr="00186A5D" w:rsidRDefault="00186A5D" w:rsidP="00186A5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0" w:name="dst306"/>
      <w:bookmarkEnd w:id="10"/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7. </w:t>
      </w:r>
      <w:hyperlink r:id="rId18" w:anchor="dst100009" w:history="1">
        <w:r w:rsidRPr="00186A5D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Положение</w:t>
        </w:r>
      </w:hyperlink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об общественном совете по проведению независимой оценки качества утверждается органом государственной власти или органом местного самоуправления, при которых создан указанный общественный совет.</w:t>
      </w:r>
    </w:p>
    <w:p w:rsidR="00186A5D" w:rsidRPr="00186A5D" w:rsidRDefault="00186A5D" w:rsidP="00186A5D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(часть 7 в ред. Федерального </w:t>
      </w:r>
      <w:hyperlink r:id="rId19" w:anchor="dst100136" w:history="1">
        <w:r w:rsidRPr="00186A5D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05.12.2017 N 392-ФЗ)</w:t>
      </w:r>
    </w:p>
    <w:p w:rsidR="00186A5D" w:rsidRPr="00186A5D" w:rsidRDefault="00186A5D" w:rsidP="00186A5D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186A5D" w:rsidRPr="00186A5D" w:rsidRDefault="00186A5D" w:rsidP="00186A5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1" w:name="dst307"/>
      <w:bookmarkEnd w:id="11"/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8. Независимая оценка качества условий оказания услуг медицинскими организациями проводится общественными </w:t>
      </w:r>
      <w:proofErr w:type="gramStart"/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советами по независимой оценке</w:t>
      </w:r>
      <w:proofErr w:type="gramEnd"/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качества не чаще чем один раз в год и не реже чем один раз в три года в отношении одной и той же медицинской организации.</w:t>
      </w:r>
    </w:p>
    <w:p w:rsidR="00186A5D" w:rsidRPr="00186A5D" w:rsidRDefault="00186A5D" w:rsidP="00186A5D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(часть 8 в ред. Федерального </w:t>
      </w:r>
      <w:hyperlink r:id="rId20" w:anchor="dst100138" w:history="1">
        <w:r w:rsidRPr="00186A5D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05.12.2017 N 392-ФЗ)</w:t>
      </w:r>
    </w:p>
    <w:p w:rsidR="00186A5D" w:rsidRPr="00186A5D" w:rsidRDefault="00186A5D" w:rsidP="00186A5D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186A5D" w:rsidRPr="00186A5D" w:rsidRDefault="00186A5D" w:rsidP="00186A5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2" w:name="dst308"/>
      <w:bookmarkEnd w:id="12"/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9. Общественные </w:t>
      </w:r>
      <w:proofErr w:type="gramStart"/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советы по независимой оценке</w:t>
      </w:r>
      <w:proofErr w:type="gramEnd"/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качества:</w:t>
      </w:r>
    </w:p>
    <w:p w:rsidR="00186A5D" w:rsidRPr="00186A5D" w:rsidRDefault="00186A5D" w:rsidP="00186A5D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21" w:anchor="dst100141" w:history="1">
        <w:r w:rsidRPr="00186A5D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05.12.2017 N 392-ФЗ)</w:t>
      </w:r>
    </w:p>
    <w:p w:rsidR="00186A5D" w:rsidRPr="00186A5D" w:rsidRDefault="00186A5D" w:rsidP="00186A5D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186A5D" w:rsidRPr="00186A5D" w:rsidRDefault="00186A5D" w:rsidP="00186A5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3" w:name="dst309"/>
      <w:bookmarkEnd w:id="13"/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определяют перечни медицинских организаций, которые участвуют в реализации </w:t>
      </w:r>
      <w:hyperlink r:id="rId22" w:anchor="dst100068" w:history="1">
        <w:r w:rsidRPr="00186A5D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программы</w:t>
        </w:r>
      </w:hyperlink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организациями;</w:t>
      </w:r>
    </w:p>
    <w:p w:rsidR="00186A5D" w:rsidRPr="00186A5D" w:rsidRDefault="00186A5D" w:rsidP="00186A5D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(п. 1 в ред. Федерального </w:t>
      </w:r>
      <w:hyperlink r:id="rId23" w:anchor="dst100143" w:history="1">
        <w:r w:rsidRPr="00186A5D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05.12.2017 N 392-ФЗ)</w:t>
      </w:r>
    </w:p>
    <w:p w:rsidR="00186A5D" w:rsidRPr="00186A5D" w:rsidRDefault="00186A5D" w:rsidP="00186A5D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186A5D" w:rsidRPr="00186A5D" w:rsidRDefault="00186A5D" w:rsidP="00186A5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4" w:name="dst310"/>
      <w:bookmarkEnd w:id="14"/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2) принимают участие в рассмотрении проектов документации о закупке работ, услуг, а также проектов государственного, муниципального контрактов, заключаемых уполномоченным федеральным органом исполнительной власти, </w:t>
      </w:r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органами государственной власти субъектов Российской Федерации или органами местного самоуправления с организацией, которая осуществляет сбор и обобщение информации о качестве условий оказания услуг медицинскими организациями (далее - оператор);</w:t>
      </w:r>
    </w:p>
    <w:p w:rsidR="00186A5D" w:rsidRPr="00186A5D" w:rsidRDefault="00186A5D" w:rsidP="00186A5D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24" w:anchor="dst100145" w:history="1">
        <w:r w:rsidRPr="00186A5D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05.12.2017 N 392-ФЗ)</w:t>
      </w:r>
    </w:p>
    <w:p w:rsidR="00186A5D" w:rsidRPr="00186A5D" w:rsidRDefault="00186A5D" w:rsidP="00186A5D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186A5D" w:rsidRPr="00186A5D" w:rsidRDefault="00186A5D" w:rsidP="00186A5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5" w:name="dst311"/>
      <w:bookmarkEnd w:id="15"/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3) утратил силу. - Федеральный </w:t>
      </w:r>
      <w:hyperlink r:id="rId25" w:anchor="dst100146" w:history="1">
        <w:r w:rsidRPr="00186A5D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</w:t>
        </w:r>
      </w:hyperlink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05.12.2017 N 392-ФЗ;</w:t>
      </w:r>
    </w:p>
    <w:p w:rsidR="00186A5D" w:rsidRPr="00186A5D" w:rsidRDefault="00186A5D" w:rsidP="00186A5D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186A5D" w:rsidRPr="00186A5D" w:rsidRDefault="00186A5D" w:rsidP="00186A5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6" w:name="dst312"/>
      <w:bookmarkEnd w:id="16"/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4) осуществляют независимую оценку качества условий оказания услуг медицинскими организациями с учетом информации, представленной оператором;</w:t>
      </w:r>
    </w:p>
    <w:p w:rsidR="00186A5D" w:rsidRPr="00186A5D" w:rsidRDefault="00186A5D" w:rsidP="00186A5D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26" w:anchor="dst100147" w:history="1">
        <w:r w:rsidRPr="00186A5D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05.12.2017 N 392-ФЗ)</w:t>
      </w:r>
    </w:p>
    <w:p w:rsidR="00186A5D" w:rsidRPr="00186A5D" w:rsidRDefault="00186A5D" w:rsidP="00186A5D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186A5D" w:rsidRPr="00186A5D" w:rsidRDefault="00186A5D" w:rsidP="00186A5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7" w:name="dst313"/>
      <w:bookmarkEnd w:id="17"/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5) представляют соответственно в уполномоченный федеральный орган исполнительной власти, органы государственной власти субъектов Российской Федерации, органы местного самоуправления результаты независимой оценки качества условий оказания услуг медицинскими организациями, а также предложения об улучшении их деятельности.</w:t>
      </w:r>
    </w:p>
    <w:p w:rsidR="00186A5D" w:rsidRPr="00186A5D" w:rsidRDefault="00186A5D" w:rsidP="00186A5D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27" w:anchor="dst100148" w:history="1">
        <w:r w:rsidRPr="00186A5D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05.12.2017 N 392-ФЗ)</w:t>
      </w:r>
    </w:p>
    <w:p w:rsidR="00186A5D" w:rsidRPr="00186A5D" w:rsidRDefault="00186A5D" w:rsidP="00186A5D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186A5D" w:rsidRPr="00186A5D" w:rsidRDefault="00186A5D" w:rsidP="00186A5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8" w:name="dst314"/>
      <w:bookmarkEnd w:id="18"/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10. Заключение государственных, муниципальных контрактов на выполнение работ, оказание услуг по сбору и обобщению информации о качестве условий оказания услуг медицинскими организациями осуществляется в соответствии с </w:t>
      </w:r>
      <w:hyperlink r:id="rId28" w:anchor="dst0" w:history="1">
        <w:r w:rsidRPr="00186A5D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законодательством</w:t>
        </w:r>
      </w:hyperlink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Российской Федерации о контрактной системе в сфере закупок товаров, работ, услуг для обеспечения государственных и муниципальных нужд. Уполномоченный федеральный орган исполнительной власти, органы государственной власти субъектов Российской Федерации, органы местного самоуправления по результатам заключения государственных, муниципальных контрактов оформляют решение об определении оператора, ответственного за сбор и обобщение информации о качестве условий оказания услуг медицинскими организациями, а также при необходимости предоставляют оператору общедоступную информацию о деятельности данных организаций, формируемую в соответствии с государственной и ведомственной статистической отчетностью (в случае, если она не размещена на официальном сайте организации).</w:t>
      </w:r>
    </w:p>
    <w:p w:rsidR="00186A5D" w:rsidRPr="00186A5D" w:rsidRDefault="00186A5D" w:rsidP="00186A5D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29" w:anchor="dst100149" w:history="1">
        <w:r w:rsidRPr="00186A5D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05.12.2017 N 392-ФЗ)</w:t>
      </w:r>
    </w:p>
    <w:p w:rsidR="00186A5D" w:rsidRPr="00186A5D" w:rsidRDefault="00186A5D" w:rsidP="00186A5D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186A5D" w:rsidRPr="00186A5D" w:rsidRDefault="00186A5D" w:rsidP="00186A5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9" w:name="dst315"/>
      <w:bookmarkEnd w:id="19"/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11. Поступившая соответственно в уполномоченный федеральный орган исполнительной власти, органы государственной власти субъектов Российской Федерации,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руководителей.</w:t>
      </w:r>
    </w:p>
    <w:p w:rsidR="00186A5D" w:rsidRPr="00186A5D" w:rsidRDefault="00186A5D" w:rsidP="00186A5D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30" w:anchor="dst100150" w:history="1">
        <w:r w:rsidRPr="00186A5D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05.12.2017 N 392-ФЗ)</w:t>
      </w:r>
    </w:p>
    <w:p w:rsidR="00186A5D" w:rsidRPr="00186A5D" w:rsidRDefault="00186A5D" w:rsidP="00186A5D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186A5D" w:rsidRPr="00186A5D" w:rsidRDefault="00186A5D" w:rsidP="00186A5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0" w:name="dst316"/>
      <w:bookmarkEnd w:id="20"/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12. Информация о результатах независимой оценки качества условий оказания услуг медицинскими организациями размещается соответственно:</w:t>
      </w:r>
    </w:p>
    <w:p w:rsidR="00186A5D" w:rsidRPr="00186A5D" w:rsidRDefault="00186A5D" w:rsidP="00186A5D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31" w:anchor="dst100151" w:history="1">
        <w:r w:rsidRPr="00186A5D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05.12.2017 N 392-ФЗ)</w:t>
      </w:r>
    </w:p>
    <w:p w:rsidR="00186A5D" w:rsidRPr="00186A5D" w:rsidRDefault="00186A5D" w:rsidP="00186A5D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(см. текст в предыдущей редакции)</w:t>
      </w:r>
    </w:p>
    <w:p w:rsidR="00186A5D" w:rsidRPr="00186A5D" w:rsidRDefault="00186A5D" w:rsidP="00186A5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1" w:name="dst50"/>
      <w:bookmarkEnd w:id="21"/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"Интернет";</w:t>
      </w:r>
    </w:p>
    <w:p w:rsidR="00186A5D" w:rsidRPr="00186A5D" w:rsidRDefault="00186A5D" w:rsidP="00186A5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2" w:name="dst51"/>
      <w:bookmarkEnd w:id="22"/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"Интернет".</w:t>
      </w:r>
    </w:p>
    <w:p w:rsidR="00186A5D" w:rsidRPr="00186A5D" w:rsidRDefault="00186A5D" w:rsidP="00186A5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3" w:name="dst317"/>
      <w:bookmarkEnd w:id="23"/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13. </w:t>
      </w:r>
      <w:hyperlink r:id="rId32" w:anchor="dst100013" w:history="1">
        <w:r w:rsidRPr="00186A5D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Состав</w:t>
        </w:r>
      </w:hyperlink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информации о результатах независимой оценки качества условий оказания услуг медицинскими организациями, включая единые требования к такой информации, и </w:t>
      </w:r>
      <w:hyperlink r:id="rId33" w:anchor="dst100027" w:history="1">
        <w:r w:rsidRPr="00186A5D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порядок</w:t>
        </w:r>
      </w:hyperlink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ее размещения на официальном сайте для размещения информации о государственных и муниципальных учреждениях в сети "Интернет" определяются уполномоченным Правительством Российской Федерации федеральным </w:t>
      </w:r>
      <w:proofErr w:type="spellStart"/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begin"/>
      </w:r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instrText xml:space="preserve"> HYPERLINK "http://www.consultant.ru/document/cons_doc_LAW_312543/" \l "dst100005" </w:instrText>
      </w:r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separate"/>
      </w:r>
      <w:r w:rsidRPr="00186A5D">
        <w:rPr>
          <w:rFonts w:ascii="Arial" w:eastAsia="Times New Roman" w:hAnsi="Arial" w:cs="Arial"/>
          <w:color w:val="666699"/>
          <w:sz w:val="24"/>
          <w:szCs w:val="24"/>
          <w:u w:val="single"/>
          <w:lang w:eastAsia="ru-RU"/>
        </w:rPr>
        <w:t>органом</w:t>
      </w:r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end"/>
      </w:r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исполнительной</w:t>
      </w:r>
      <w:proofErr w:type="spellEnd"/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власти.</w:t>
      </w:r>
    </w:p>
    <w:p w:rsidR="00186A5D" w:rsidRPr="00186A5D" w:rsidRDefault="00186A5D" w:rsidP="00186A5D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34" w:anchor="dst100152" w:history="1">
        <w:r w:rsidRPr="00186A5D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05.12.2017 N 392-ФЗ)</w:t>
      </w:r>
    </w:p>
    <w:p w:rsidR="00186A5D" w:rsidRPr="00186A5D" w:rsidRDefault="00186A5D" w:rsidP="00186A5D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186A5D" w:rsidRPr="00186A5D" w:rsidRDefault="00186A5D" w:rsidP="00186A5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4" w:name="dst318"/>
      <w:bookmarkEnd w:id="24"/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14. Уполномоченный федеральный орган исполнительной власти, органы государственной власти субъектов Российской Федерации, органы местного самоуправления и медицинские организации обеспечивают на своих официальных сайтах в сети "Интернет" техническую возможность выражения мнений пациентами о качестве условий оказания услуг медицинскими организациями.</w:t>
      </w:r>
    </w:p>
    <w:p w:rsidR="00186A5D" w:rsidRPr="00186A5D" w:rsidRDefault="00186A5D" w:rsidP="00186A5D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35" w:anchor="dst100153" w:history="1">
        <w:r w:rsidRPr="00186A5D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05.12.2017 N 392-ФЗ)</w:t>
      </w:r>
    </w:p>
    <w:p w:rsidR="00186A5D" w:rsidRPr="00186A5D" w:rsidRDefault="00186A5D" w:rsidP="00186A5D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186A5D" w:rsidRPr="00186A5D" w:rsidRDefault="00186A5D" w:rsidP="00186A5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5" w:name="dst54"/>
      <w:bookmarkEnd w:id="25"/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15. Информация, предоставление которой является обязательным в соответствии с законодательством Российской Федерации, размещается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медицинских организаций в сети "Интернет" в соответствии с </w:t>
      </w:r>
      <w:hyperlink r:id="rId36" w:anchor="dst100051" w:history="1">
        <w:r w:rsidRPr="00186A5D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требованиями</w:t>
        </w:r>
      </w:hyperlink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 ее содержанию и форме предоставления, установленными уполномоченным федеральным органом исполнительной власти.</w:t>
      </w:r>
    </w:p>
    <w:p w:rsidR="00186A5D" w:rsidRPr="00186A5D" w:rsidRDefault="00186A5D" w:rsidP="00186A5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6" w:name="dst319"/>
      <w:bookmarkEnd w:id="26"/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16.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Федерации.</w:t>
      </w:r>
    </w:p>
    <w:p w:rsidR="00186A5D" w:rsidRPr="00186A5D" w:rsidRDefault="00186A5D" w:rsidP="00186A5D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37" w:anchor="dst100154" w:history="1">
        <w:r w:rsidRPr="00186A5D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05.12.2017 N 392-ФЗ)</w:t>
      </w:r>
    </w:p>
    <w:p w:rsidR="00186A5D" w:rsidRPr="00186A5D" w:rsidRDefault="00186A5D" w:rsidP="00186A5D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186A5D" w:rsidRPr="00186A5D" w:rsidRDefault="00186A5D" w:rsidP="00186A5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7" w:name="dst320"/>
      <w:bookmarkEnd w:id="27"/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17. Руководители медицинских организаций, участвующих в реализации программы государственных гарантий бесплатного оказания гражданам медицинской помощи, несут ответственность за непринятие мер по устранению недостатков, выявленных в ходе независимой оценки качества условий оказания услуг медицинскими организациями, в соответствии с трудовым законодательством.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недостатков, выявленных в ходе такой оценки.</w:t>
      </w:r>
    </w:p>
    <w:p w:rsidR="00186A5D" w:rsidRPr="00186A5D" w:rsidRDefault="00186A5D" w:rsidP="00186A5D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(часть 17 введена Федеральным </w:t>
      </w:r>
      <w:hyperlink r:id="rId38" w:anchor="dst100155" w:history="1">
        <w:r w:rsidRPr="00186A5D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05.12.2017 N 392-ФЗ)</w:t>
      </w:r>
    </w:p>
    <w:p w:rsidR="00186A5D" w:rsidRPr="00186A5D" w:rsidRDefault="00186A5D" w:rsidP="00186A5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8" w:name="dst321"/>
      <w:bookmarkEnd w:id="28"/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18.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</w:t>
      </w:r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исполнительной власти, высших должностных лиц (руководителей высших исполнительных органов государственной власти) субъектов Российской Федерации и руководителей органов исполнительной власти субъектов Российской Федерации, руководителей органов местного самоуправления.</w:t>
      </w:r>
    </w:p>
    <w:p w:rsidR="00186A5D" w:rsidRPr="00186A5D" w:rsidRDefault="00186A5D" w:rsidP="00186A5D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(часть 18 введена Федеральным </w:t>
      </w:r>
      <w:hyperlink r:id="rId39" w:anchor="dst100157" w:history="1">
        <w:r w:rsidRPr="00186A5D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05.12.2017 N 392-ФЗ)</w:t>
      </w:r>
    </w:p>
    <w:p w:rsidR="00186A5D" w:rsidRPr="00186A5D" w:rsidRDefault="00186A5D" w:rsidP="00186A5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6A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840FFF" w:rsidRDefault="00840FFF"/>
    <w:sectPr w:rsidR="00840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A5D"/>
    <w:rsid w:val="00186A5D"/>
    <w:rsid w:val="0084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A26E2"/>
  <w15:chartTrackingRefBased/>
  <w15:docId w15:val="{B44C5F47-7BBC-466D-8E96-EFE17B3B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6A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8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8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0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739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7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5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5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9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5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9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7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1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2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1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7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2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4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9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8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3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99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00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4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6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1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6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2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8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5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0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7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3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5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0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5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1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5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3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9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1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76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1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2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9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6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4137/46b4b351a6eb6bf3c553d41eb663011c2cb38810/" TargetMode="External"/><Relationship Id="rId13" Type="http://schemas.openxmlformats.org/officeDocument/2006/relationships/hyperlink" Target="http://www.consultant.ru/document/cons_doc_LAW_325674/da82199f24775807599c56ec8ccf1b7e648f6538/" TargetMode="External"/><Relationship Id="rId18" Type="http://schemas.openxmlformats.org/officeDocument/2006/relationships/hyperlink" Target="http://www.consultant.ru/document/cons_doc_LAW_301909/" TargetMode="External"/><Relationship Id="rId26" Type="http://schemas.openxmlformats.org/officeDocument/2006/relationships/hyperlink" Target="http://www.consultant.ru/document/cons_doc_LAW_284137/46b4b351a6eb6bf3c553d41eb663011c2cb38810/" TargetMode="External"/><Relationship Id="rId39" Type="http://schemas.openxmlformats.org/officeDocument/2006/relationships/hyperlink" Target="http://www.consultant.ru/document/cons_doc_LAW_284137/46b4b351a6eb6bf3c553d41eb663011c2cb38810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284137/46b4b351a6eb6bf3c553d41eb663011c2cb38810/" TargetMode="External"/><Relationship Id="rId34" Type="http://schemas.openxmlformats.org/officeDocument/2006/relationships/hyperlink" Target="http://www.consultant.ru/document/cons_doc_LAW_284137/46b4b351a6eb6bf3c553d41eb663011c2cb38810/" TargetMode="External"/><Relationship Id="rId7" Type="http://schemas.openxmlformats.org/officeDocument/2006/relationships/hyperlink" Target="http://www.consultant.ru/document/cons_doc_LAW_284137/46b4b351a6eb6bf3c553d41eb663011c2cb38810/" TargetMode="External"/><Relationship Id="rId12" Type="http://schemas.openxmlformats.org/officeDocument/2006/relationships/hyperlink" Target="http://www.consultant.ru/document/cons_doc_LAW_325674/da82199f24775807599c56ec8ccf1b7e648f6538/" TargetMode="External"/><Relationship Id="rId17" Type="http://schemas.openxmlformats.org/officeDocument/2006/relationships/hyperlink" Target="http://www.consultant.ru/document/cons_doc_LAW_284137/46b4b351a6eb6bf3c553d41eb663011c2cb38810/" TargetMode="External"/><Relationship Id="rId25" Type="http://schemas.openxmlformats.org/officeDocument/2006/relationships/hyperlink" Target="http://www.consultant.ru/document/cons_doc_LAW_284137/46b4b351a6eb6bf3c553d41eb663011c2cb38810/" TargetMode="External"/><Relationship Id="rId33" Type="http://schemas.openxmlformats.org/officeDocument/2006/relationships/hyperlink" Target="http://www.consultant.ru/document/cons_doc_LAW_202670/" TargetMode="External"/><Relationship Id="rId38" Type="http://schemas.openxmlformats.org/officeDocument/2006/relationships/hyperlink" Target="http://www.consultant.ru/document/cons_doc_LAW_284137/46b4b351a6eb6bf3c553d41eb663011c2cb3881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284137/46b4b351a6eb6bf3c553d41eb663011c2cb38810/" TargetMode="External"/><Relationship Id="rId20" Type="http://schemas.openxmlformats.org/officeDocument/2006/relationships/hyperlink" Target="http://www.consultant.ru/document/cons_doc_LAW_284137/46b4b351a6eb6bf3c553d41eb663011c2cb38810/" TargetMode="External"/><Relationship Id="rId29" Type="http://schemas.openxmlformats.org/officeDocument/2006/relationships/hyperlink" Target="http://www.consultant.ru/document/cons_doc_LAW_284137/46b4b351a6eb6bf3c553d41eb663011c2cb38810/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84137/46b4b351a6eb6bf3c553d41eb663011c2cb38810/" TargetMode="External"/><Relationship Id="rId11" Type="http://schemas.openxmlformats.org/officeDocument/2006/relationships/hyperlink" Target="http://www.consultant.ru/document/cons_doc_LAW_325674/332873f90bf77b37248fe2e0266a389f8ceece62/" TargetMode="External"/><Relationship Id="rId24" Type="http://schemas.openxmlformats.org/officeDocument/2006/relationships/hyperlink" Target="http://www.consultant.ru/document/cons_doc_LAW_284137/46b4b351a6eb6bf3c553d41eb663011c2cb38810/" TargetMode="External"/><Relationship Id="rId32" Type="http://schemas.openxmlformats.org/officeDocument/2006/relationships/hyperlink" Target="http://www.consultant.ru/document/cons_doc_LAW_202670/" TargetMode="External"/><Relationship Id="rId37" Type="http://schemas.openxmlformats.org/officeDocument/2006/relationships/hyperlink" Target="http://www.consultant.ru/document/cons_doc_LAW_284137/46b4b351a6eb6bf3c553d41eb663011c2cb38810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consultant.ru/document/cons_doc_LAW_284305/5bdc78bf7e3015a0ea0c0ea5bef708a6c79e2f0a/" TargetMode="External"/><Relationship Id="rId15" Type="http://schemas.openxmlformats.org/officeDocument/2006/relationships/hyperlink" Target="http://www.consultant.ru/document/cons_doc_LAW_298636/" TargetMode="External"/><Relationship Id="rId23" Type="http://schemas.openxmlformats.org/officeDocument/2006/relationships/hyperlink" Target="http://www.consultant.ru/document/cons_doc_LAW_284137/46b4b351a6eb6bf3c553d41eb663011c2cb38810/" TargetMode="External"/><Relationship Id="rId28" Type="http://schemas.openxmlformats.org/officeDocument/2006/relationships/hyperlink" Target="http://www.consultant.ru/document/cons_doc_LAW_324057/" TargetMode="External"/><Relationship Id="rId36" Type="http://schemas.openxmlformats.org/officeDocument/2006/relationships/hyperlink" Target="http://www.consultant.ru/document/cons_doc_LAW_137853/" TargetMode="External"/><Relationship Id="rId10" Type="http://schemas.openxmlformats.org/officeDocument/2006/relationships/hyperlink" Target="http://www.consultant.ru/document/cons_doc_LAW_325674/da82199f24775807599c56ec8ccf1b7e648f6538/" TargetMode="External"/><Relationship Id="rId19" Type="http://schemas.openxmlformats.org/officeDocument/2006/relationships/hyperlink" Target="http://www.consultant.ru/document/cons_doc_LAW_284137/46b4b351a6eb6bf3c553d41eb663011c2cb38810/" TargetMode="External"/><Relationship Id="rId31" Type="http://schemas.openxmlformats.org/officeDocument/2006/relationships/hyperlink" Target="http://www.consultant.ru/document/cons_doc_LAW_284137/46b4b351a6eb6bf3c553d41eb663011c2cb38810/" TargetMode="External"/><Relationship Id="rId4" Type="http://schemas.openxmlformats.org/officeDocument/2006/relationships/hyperlink" Target="http://www.consultant.ru/document/cons_doc_LAW_284137/46b4b351a6eb6bf3c553d41eb663011c2cb38810/" TargetMode="External"/><Relationship Id="rId9" Type="http://schemas.openxmlformats.org/officeDocument/2006/relationships/hyperlink" Target="http://www.consultant.ru/document/cons_doc_LAW_298993/" TargetMode="External"/><Relationship Id="rId14" Type="http://schemas.openxmlformats.org/officeDocument/2006/relationships/hyperlink" Target="http://www.consultant.ru/document/cons_doc_LAW_284137/46b4b351a6eb6bf3c553d41eb663011c2cb38810/" TargetMode="External"/><Relationship Id="rId22" Type="http://schemas.openxmlformats.org/officeDocument/2006/relationships/hyperlink" Target="http://www.consultant.ru/document/cons_doc_LAW_141711/ed061ebeff9beb04c0d94a210aa7554daf70f1b7/" TargetMode="External"/><Relationship Id="rId27" Type="http://schemas.openxmlformats.org/officeDocument/2006/relationships/hyperlink" Target="http://www.consultant.ru/document/cons_doc_LAW_284137/46b4b351a6eb6bf3c553d41eb663011c2cb38810/" TargetMode="External"/><Relationship Id="rId30" Type="http://schemas.openxmlformats.org/officeDocument/2006/relationships/hyperlink" Target="http://www.consultant.ru/document/cons_doc_LAW_284137/46b4b351a6eb6bf3c553d41eb663011c2cb38810/" TargetMode="External"/><Relationship Id="rId35" Type="http://schemas.openxmlformats.org/officeDocument/2006/relationships/hyperlink" Target="http://www.consultant.ru/document/cons_doc_LAW_284137/46b4b351a6eb6bf3c553d41eb663011c2cb388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2974</Words>
  <Characters>16952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2019-06-18T13:20:00Z</dcterms:created>
  <dcterms:modified xsi:type="dcterms:W3CDTF">2019-06-18T13:22:00Z</dcterms:modified>
</cp:coreProperties>
</file>